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F8A" w:rsidRPr="002C17DF" w:rsidRDefault="00622111" w:rsidP="002C17DF">
      <w:pPr>
        <w:spacing w:after="240"/>
        <w:rPr>
          <w:b/>
          <w:sz w:val="28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Start w:id="7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622111">
        <w:rPr>
          <w:b/>
          <w:sz w:val="28"/>
        </w:rPr>
        <w:t>ПЕРЕЧЕНЬ ИСПОЛЬЗУЕМЫХ ТЕРМИНОВ, РОЛЕЙ И ОПРЕДЕЛЕНИЙ</w:t>
      </w:r>
    </w:p>
    <w:p w:rsidR="0044283E" w:rsidRDefault="00622111" w:rsidP="008C07E1">
      <w:pPr>
        <w:spacing w:before="240" w:after="120"/>
      </w:pPr>
      <w:r w:rsidRPr="00622111">
        <w:t>ТЕРМИНЫ КОРПОРАТИВНОГО ГЛОССАРИЯ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2942"/>
        <w:gridCol w:w="336"/>
        <w:gridCol w:w="6611"/>
      </w:tblGrid>
      <w:tr w:rsidR="006B5DB1" w:rsidTr="00954C44">
        <w:tc>
          <w:tcPr>
            <w:tcW w:w="2942" w:type="dxa"/>
            <w:shd w:val="clear" w:color="auto" w:fill="auto"/>
          </w:tcPr>
          <w:p w:rsidR="006B5DB1" w:rsidRDefault="006B5DB1" w:rsidP="00954C44">
            <w:pPr>
              <w:spacing w:before="120" w:after="120"/>
            </w:pPr>
            <w:r w:rsidRPr="006B5DB1">
              <w:t>ЛОКАЛЬНАЯ КОРРОЗИЯ</w:t>
            </w:r>
          </w:p>
        </w:tc>
        <w:tc>
          <w:tcPr>
            <w:tcW w:w="336" w:type="dxa"/>
            <w:shd w:val="clear" w:color="auto" w:fill="auto"/>
          </w:tcPr>
          <w:p w:rsidR="006B5DB1" w:rsidRDefault="006B5DB1" w:rsidP="006B5DB1">
            <w:pPr>
              <w:spacing w:before="120" w:after="120"/>
              <w:jc w:val="center"/>
            </w:pPr>
            <w:r w:rsidRPr="005C79AE">
              <w:t>–</w:t>
            </w:r>
          </w:p>
        </w:tc>
        <w:tc>
          <w:tcPr>
            <w:tcW w:w="6611" w:type="dxa"/>
            <w:shd w:val="clear" w:color="auto" w:fill="auto"/>
          </w:tcPr>
          <w:p w:rsidR="006B5DB1" w:rsidRDefault="006B5DB1" w:rsidP="00954C44">
            <w:pPr>
              <w:spacing w:before="120" w:after="120"/>
              <w:ind w:right="34"/>
              <w:jc w:val="both"/>
            </w:pPr>
            <w:r w:rsidRPr="006B5DB1">
              <w:t>вид коррозионного разрушения, распространяющегося на определенные участки металла (</w:t>
            </w:r>
            <w:proofErr w:type="gramStart"/>
            <w:r w:rsidRPr="006B5DB1">
              <w:t>язвенная</w:t>
            </w:r>
            <w:proofErr w:type="gramEnd"/>
            <w:r w:rsidRPr="006B5DB1">
              <w:t xml:space="preserve">, </w:t>
            </w:r>
            <w:proofErr w:type="spellStart"/>
            <w:r w:rsidRPr="006B5DB1">
              <w:t>питтинговая</w:t>
            </w:r>
            <w:proofErr w:type="spellEnd"/>
            <w:r w:rsidRPr="006B5DB1">
              <w:t>, сквозная).</w:t>
            </w:r>
          </w:p>
        </w:tc>
      </w:tr>
      <w:tr w:rsidR="006B5DB1" w:rsidTr="00954C44">
        <w:tc>
          <w:tcPr>
            <w:tcW w:w="2942" w:type="dxa"/>
            <w:shd w:val="clear" w:color="auto" w:fill="auto"/>
          </w:tcPr>
          <w:p w:rsidR="006B5DB1" w:rsidRDefault="006B5DB1" w:rsidP="001A43B5">
            <w:pPr>
              <w:spacing w:before="120" w:after="120"/>
            </w:pPr>
            <w:r>
              <w:t>ЛОКАЛЬНЫЙ НОРМАТИВНЫЙ ДОКУМЕНТ (ЛНД)</w:t>
            </w:r>
          </w:p>
        </w:tc>
        <w:tc>
          <w:tcPr>
            <w:tcW w:w="336" w:type="dxa"/>
            <w:shd w:val="clear" w:color="auto" w:fill="auto"/>
          </w:tcPr>
          <w:p w:rsidR="006B5DB1" w:rsidRDefault="006B5DB1" w:rsidP="006B5DB1">
            <w:pPr>
              <w:spacing w:before="120" w:after="120"/>
              <w:jc w:val="center"/>
            </w:pPr>
            <w:r w:rsidRPr="005C79AE">
              <w:t>–</w:t>
            </w:r>
          </w:p>
        </w:tc>
        <w:tc>
          <w:tcPr>
            <w:tcW w:w="6611" w:type="dxa"/>
            <w:shd w:val="clear" w:color="auto" w:fill="auto"/>
          </w:tcPr>
          <w:p w:rsidR="006B5DB1" w:rsidRDefault="006B5DB1" w:rsidP="001A43B5">
            <w:pPr>
              <w:spacing w:before="120" w:after="120"/>
              <w:ind w:right="34"/>
              <w:jc w:val="both"/>
            </w:pPr>
            <w:r>
              <w:t>в</w:t>
            </w:r>
            <w:r w:rsidRPr="008669C4">
              <w:t>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6B5DB1" w:rsidTr="00954C44">
        <w:tc>
          <w:tcPr>
            <w:tcW w:w="2942" w:type="dxa"/>
            <w:shd w:val="clear" w:color="auto" w:fill="auto"/>
          </w:tcPr>
          <w:p w:rsidR="006B5DB1" w:rsidRDefault="006B5DB1" w:rsidP="001A43B5">
            <w:pPr>
              <w:spacing w:before="120" w:after="120"/>
            </w:pPr>
            <w:r w:rsidRPr="006B5DB1">
              <w:t>ОБЩАЯ (СПЛОШНАЯ) КОРРОЗИЯ</w:t>
            </w:r>
          </w:p>
        </w:tc>
        <w:tc>
          <w:tcPr>
            <w:tcW w:w="336" w:type="dxa"/>
            <w:shd w:val="clear" w:color="auto" w:fill="auto"/>
          </w:tcPr>
          <w:p w:rsidR="006B5DB1" w:rsidRPr="005C79AE" w:rsidRDefault="006B5DB1" w:rsidP="006B5DB1">
            <w:pPr>
              <w:spacing w:before="120" w:after="120"/>
              <w:jc w:val="center"/>
            </w:pPr>
            <w:r w:rsidRPr="005C79AE">
              <w:t>–</w:t>
            </w:r>
          </w:p>
        </w:tc>
        <w:tc>
          <w:tcPr>
            <w:tcW w:w="6611" w:type="dxa"/>
            <w:shd w:val="clear" w:color="auto" w:fill="auto"/>
          </w:tcPr>
          <w:p w:rsidR="006B5DB1" w:rsidRDefault="006B5DB1" w:rsidP="001A43B5">
            <w:pPr>
              <w:spacing w:before="120" w:after="120"/>
              <w:ind w:right="34"/>
              <w:jc w:val="both"/>
            </w:pPr>
            <w:r w:rsidRPr="006B5DB1">
              <w:t>коррозия, охватывающая всю поверхность металла, которая находится под воздействием коррозионной среды.</w:t>
            </w:r>
          </w:p>
        </w:tc>
      </w:tr>
      <w:tr w:rsidR="006B5DB1" w:rsidTr="00954C44">
        <w:tc>
          <w:tcPr>
            <w:tcW w:w="2942" w:type="dxa"/>
            <w:shd w:val="clear" w:color="auto" w:fill="auto"/>
          </w:tcPr>
          <w:p w:rsidR="006B5DB1" w:rsidRDefault="006B5DB1" w:rsidP="00954C44">
            <w:pPr>
              <w:spacing w:before="120" w:after="120"/>
            </w:pPr>
            <w:r w:rsidRPr="002C11F9">
              <w:t>ОБЩЕСТВО ГРУППЫ (ОГ)</w:t>
            </w:r>
          </w:p>
        </w:tc>
        <w:tc>
          <w:tcPr>
            <w:tcW w:w="336" w:type="dxa"/>
            <w:shd w:val="clear" w:color="auto" w:fill="auto"/>
          </w:tcPr>
          <w:p w:rsidR="006B5DB1" w:rsidRPr="00763073" w:rsidRDefault="006B5DB1" w:rsidP="006B5DB1">
            <w:pPr>
              <w:spacing w:before="120" w:after="120"/>
              <w:jc w:val="center"/>
            </w:pPr>
            <w:r w:rsidRPr="008669C4">
              <w:t>–</w:t>
            </w:r>
          </w:p>
        </w:tc>
        <w:tc>
          <w:tcPr>
            <w:tcW w:w="6611" w:type="dxa"/>
            <w:shd w:val="clear" w:color="auto" w:fill="auto"/>
          </w:tcPr>
          <w:p w:rsidR="006B5DB1" w:rsidRPr="00D32A93" w:rsidRDefault="006B5DB1" w:rsidP="00954C44">
            <w:pPr>
              <w:spacing w:before="120" w:after="120"/>
              <w:ind w:right="34"/>
              <w:jc w:val="both"/>
              <w:rPr>
                <w:bCs/>
              </w:rPr>
            </w:pPr>
            <w:r>
              <w:t>х</w:t>
            </w:r>
            <w:r w:rsidRPr="008669C4">
              <w:t xml:space="preserve">озяйственное общество, прямая и (или) косвенная доля владения </w:t>
            </w:r>
            <w:r>
              <w:t>ПАО «НК «Роснефть»</w:t>
            </w:r>
            <w:r w:rsidRPr="008669C4">
              <w:t xml:space="preserve"> акциями или долями в уставном капитале которого составляет 20 процентов и более.</w:t>
            </w:r>
          </w:p>
        </w:tc>
      </w:tr>
      <w:tr w:rsidR="006B5DB1" w:rsidTr="00954C44">
        <w:tc>
          <w:tcPr>
            <w:tcW w:w="2942" w:type="dxa"/>
            <w:shd w:val="clear" w:color="auto" w:fill="auto"/>
          </w:tcPr>
          <w:p w:rsidR="006B5DB1" w:rsidRPr="002C11F9" w:rsidRDefault="006B5DB1" w:rsidP="00954C44">
            <w:pPr>
              <w:spacing w:before="120" w:after="120"/>
            </w:pPr>
            <w:r>
              <w:t>САМОСТОЯТЕЛЬНОЕ СТРУКТУРНОЕ ПОДРАЗДЕЛЕНИЕ (ССП)</w:t>
            </w:r>
          </w:p>
        </w:tc>
        <w:tc>
          <w:tcPr>
            <w:tcW w:w="336" w:type="dxa"/>
            <w:shd w:val="clear" w:color="auto" w:fill="auto"/>
          </w:tcPr>
          <w:p w:rsidR="006B5DB1" w:rsidRPr="008669C4" w:rsidRDefault="006B5DB1" w:rsidP="006B5DB1">
            <w:pPr>
              <w:spacing w:before="120" w:after="120"/>
              <w:jc w:val="center"/>
            </w:pPr>
            <w:r w:rsidRPr="008669C4">
              <w:t>–</w:t>
            </w:r>
          </w:p>
        </w:tc>
        <w:tc>
          <w:tcPr>
            <w:tcW w:w="6611" w:type="dxa"/>
            <w:shd w:val="clear" w:color="auto" w:fill="auto"/>
          </w:tcPr>
          <w:p w:rsidR="006B5DB1" w:rsidRDefault="006B5DB1" w:rsidP="00AA06D9">
            <w:pPr>
              <w:spacing w:before="120" w:after="120"/>
              <w:ind w:right="34"/>
              <w:jc w:val="both"/>
            </w:pPr>
            <w:r>
              <w:t>структурное подразделение, руководитель которого находится в непосредственном подчинении Главного исполнительного директора ПАО «НК «Роснефть» или топ-менеджера ПАО «НК «Роснефть», руководителя верхнего звена или заместителя руководителя верхнего звена Общества Группы.</w:t>
            </w:r>
          </w:p>
        </w:tc>
      </w:tr>
      <w:tr w:rsidR="006B5DB1" w:rsidTr="00954C44">
        <w:tc>
          <w:tcPr>
            <w:tcW w:w="2942" w:type="dxa"/>
            <w:shd w:val="clear" w:color="auto" w:fill="auto"/>
          </w:tcPr>
          <w:p w:rsidR="006B5DB1" w:rsidRPr="00954C44" w:rsidRDefault="006B5DB1" w:rsidP="00954C44">
            <w:pPr>
              <w:spacing w:before="120" w:after="120"/>
            </w:pPr>
            <w:r w:rsidRPr="00954C44">
              <w:rPr>
                <w:bCs/>
                <w:iCs/>
              </w:rPr>
              <w:t>СТРУКТУРНОЕ ПОДРАЗДЕЛЕНИЕ</w:t>
            </w:r>
          </w:p>
        </w:tc>
        <w:tc>
          <w:tcPr>
            <w:tcW w:w="336" w:type="dxa"/>
            <w:shd w:val="clear" w:color="auto" w:fill="auto"/>
          </w:tcPr>
          <w:p w:rsidR="006B5DB1" w:rsidRPr="008669C4" w:rsidRDefault="006B5DB1" w:rsidP="006B5DB1">
            <w:pPr>
              <w:spacing w:before="120" w:after="120"/>
              <w:jc w:val="center"/>
            </w:pPr>
            <w:r w:rsidRPr="008669C4">
              <w:t>–</w:t>
            </w:r>
          </w:p>
        </w:tc>
        <w:tc>
          <w:tcPr>
            <w:tcW w:w="6611" w:type="dxa"/>
            <w:shd w:val="clear" w:color="auto" w:fill="auto"/>
          </w:tcPr>
          <w:p w:rsidR="006B5DB1" w:rsidRDefault="006B5DB1" w:rsidP="00954C44">
            <w:pPr>
              <w:spacing w:before="120" w:after="120"/>
              <w:ind w:right="34"/>
              <w:jc w:val="both"/>
            </w:pPr>
            <w:r>
              <w:t>о</w:t>
            </w:r>
            <w:r w:rsidRPr="00954C44">
              <w:t>рганизационно-структурная единица, объединяющая несколько должностей (профессий), с определенными функциями, задачами и ответственностью.</w:t>
            </w:r>
          </w:p>
        </w:tc>
      </w:tr>
    </w:tbl>
    <w:p w:rsidR="002C11F9" w:rsidRDefault="00AA06D9" w:rsidP="006B5DB1">
      <w:pPr>
        <w:spacing w:before="240" w:after="120"/>
      </w:pPr>
      <w:r w:rsidRPr="00BC5618">
        <w:t xml:space="preserve">ТЕРМИНЫ </w:t>
      </w:r>
      <w:r>
        <w:t>ИЗ ВНЕШНИХ ДОКУМЕНТОВ</w:t>
      </w:r>
      <w:r>
        <w:rPr>
          <w:rStyle w:val="af5"/>
        </w:rPr>
        <w:footnoteReference w:id="1"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2942"/>
        <w:gridCol w:w="336"/>
        <w:gridCol w:w="6611"/>
      </w:tblGrid>
      <w:tr w:rsidR="00AA06D9" w:rsidTr="006B5DB1">
        <w:tc>
          <w:tcPr>
            <w:tcW w:w="2942" w:type="dxa"/>
            <w:shd w:val="clear" w:color="auto" w:fill="auto"/>
          </w:tcPr>
          <w:p w:rsidR="00AA06D9" w:rsidRPr="007C7A6C" w:rsidRDefault="00AA06D9" w:rsidP="006B5DB1">
            <w:pPr>
              <w:spacing w:before="120" w:after="120"/>
            </w:pPr>
            <w:r w:rsidRPr="00AA06D9">
              <w:rPr>
                <w:bCs/>
                <w:iCs/>
              </w:rPr>
              <w:t>АККРЕДИТАЦИЯ</w:t>
            </w:r>
          </w:p>
        </w:tc>
        <w:tc>
          <w:tcPr>
            <w:tcW w:w="336" w:type="dxa"/>
            <w:shd w:val="clear" w:color="auto" w:fill="auto"/>
          </w:tcPr>
          <w:p w:rsidR="00AA06D9" w:rsidRPr="00763073" w:rsidRDefault="00AA06D9" w:rsidP="006B5DB1">
            <w:pPr>
              <w:spacing w:before="120" w:after="120"/>
              <w:jc w:val="center"/>
            </w:pPr>
            <w:r w:rsidRPr="00763073">
              <w:t>–</w:t>
            </w:r>
          </w:p>
        </w:tc>
        <w:tc>
          <w:tcPr>
            <w:tcW w:w="6611" w:type="dxa"/>
            <w:shd w:val="clear" w:color="auto" w:fill="auto"/>
          </w:tcPr>
          <w:p w:rsidR="00AA06D9" w:rsidRDefault="00EA1373" w:rsidP="006B5DB1">
            <w:pPr>
              <w:tabs>
                <w:tab w:val="left" w:pos="0"/>
              </w:tabs>
              <w:spacing w:before="120" w:after="120"/>
              <w:jc w:val="both"/>
            </w:pPr>
            <w:r w:rsidRPr="00EA1373">
              <w:t>подтверждение национальным органом по аккредитации соответствия юридического лица или индивидуального предпринимателя критериям аккредитации, являющееся официальным свидетельством компетентности юридического лица или индивидуального предпринимателя осуществлять деятельность в определенной области аккредитации</w:t>
            </w:r>
            <w:r>
              <w:t xml:space="preserve"> </w:t>
            </w:r>
            <w:r w:rsidR="00AA06D9" w:rsidRPr="00BC5618">
              <w:t>[</w:t>
            </w:r>
            <w:r w:rsidR="00AA06D9" w:rsidRPr="00AA06D9">
              <w:t>п. 1 ст. 4 Федерального закона от 28.12.2013 № 412-ФЗ «Об аккредитации в национальной системе аккредитации»</w:t>
            </w:r>
            <w:r w:rsidR="00AA06D9" w:rsidRPr="00BC5618">
              <w:t>].</w:t>
            </w:r>
          </w:p>
        </w:tc>
      </w:tr>
      <w:tr w:rsidR="00AA06D9" w:rsidTr="006B5DB1">
        <w:tc>
          <w:tcPr>
            <w:tcW w:w="2942" w:type="dxa"/>
            <w:shd w:val="clear" w:color="auto" w:fill="auto"/>
          </w:tcPr>
          <w:p w:rsidR="00AA06D9" w:rsidRPr="00AA06D9" w:rsidRDefault="00AA06D9" w:rsidP="006B5DB1">
            <w:pPr>
              <w:spacing w:before="120" w:after="120"/>
              <w:rPr>
                <w:bCs/>
                <w:iCs/>
              </w:rPr>
            </w:pPr>
            <w:r>
              <w:t>ТЕХНИЧЕСКИЕ УСЛОВИЯ</w:t>
            </w:r>
          </w:p>
        </w:tc>
        <w:tc>
          <w:tcPr>
            <w:tcW w:w="336" w:type="dxa"/>
            <w:shd w:val="clear" w:color="auto" w:fill="auto"/>
          </w:tcPr>
          <w:p w:rsidR="00AA06D9" w:rsidRPr="00763073" w:rsidRDefault="00AA06D9" w:rsidP="006B5DB1">
            <w:pPr>
              <w:spacing w:before="120" w:after="120"/>
              <w:jc w:val="center"/>
            </w:pPr>
            <w:r w:rsidRPr="00763073">
              <w:t>–</w:t>
            </w:r>
          </w:p>
        </w:tc>
        <w:tc>
          <w:tcPr>
            <w:tcW w:w="6611" w:type="dxa"/>
            <w:shd w:val="clear" w:color="auto" w:fill="auto"/>
          </w:tcPr>
          <w:p w:rsidR="00AA06D9" w:rsidRPr="00BC5618" w:rsidRDefault="00EA1373" w:rsidP="006B5DB1">
            <w:pPr>
              <w:tabs>
                <w:tab w:val="left" w:pos="0"/>
              </w:tabs>
              <w:spacing w:before="120" w:after="120"/>
              <w:jc w:val="both"/>
            </w:pPr>
            <w:r>
              <w:t>вид стандарта организации, утвержденный изготовителем продукции или исполнителем работы, услуги</w:t>
            </w:r>
            <w:r w:rsidRPr="00AA06D9">
              <w:t xml:space="preserve"> </w:t>
            </w:r>
            <w:r w:rsidR="00AA06D9" w:rsidRPr="00AA06D9">
              <w:t xml:space="preserve">[п. 15 ст. 2 Федерального закона от 29.06.2015 № 162-ФЗ «О </w:t>
            </w:r>
            <w:r w:rsidR="00AA06D9" w:rsidRPr="00AA06D9">
              <w:lastRenderedPageBreak/>
              <w:t>стандартизации в Российской Федерации»]</w:t>
            </w:r>
            <w:r>
              <w:t>.</w:t>
            </w:r>
          </w:p>
        </w:tc>
      </w:tr>
    </w:tbl>
    <w:p w:rsidR="00BC5618" w:rsidRDefault="00BC5618" w:rsidP="00BC5618"/>
    <w:sectPr w:rsidR="00BC5618" w:rsidSect="008C07E1">
      <w:headerReference w:type="default" r:id="rId9"/>
      <w:footerReference w:type="default" r:id="rId10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59C" w:rsidRDefault="000B559C" w:rsidP="000D7C6A">
      <w:r>
        <w:separator/>
      </w:r>
    </w:p>
  </w:endnote>
  <w:endnote w:type="continuationSeparator" w:id="0">
    <w:p w:rsidR="000B559C" w:rsidRDefault="000B559C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1E0" w:firstRow="1" w:lastRow="1" w:firstColumn="1" w:lastColumn="1" w:noHBand="0" w:noVBand="0"/>
    </w:tblPr>
    <w:tblGrid>
      <w:gridCol w:w="9214"/>
      <w:gridCol w:w="675"/>
    </w:tblGrid>
    <w:tr w:rsidR="007C7A6C" w:rsidRPr="00347E5A" w:rsidTr="006B5DB1">
      <w:tc>
        <w:tcPr>
          <w:tcW w:w="9214" w:type="dxa"/>
          <w:tcBorders>
            <w:top w:val="single" w:sz="12" w:space="0" w:color="FFD200"/>
          </w:tcBorders>
        </w:tcPr>
        <w:p w:rsidR="007C7A6C" w:rsidRPr="00D523ED" w:rsidRDefault="007C7A6C" w:rsidP="002929A1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675" w:type="dxa"/>
          <w:tcBorders>
            <w:top w:val="single" w:sz="12" w:space="0" w:color="FFD200"/>
          </w:tcBorders>
        </w:tcPr>
        <w:p w:rsidR="007C7A6C" w:rsidRPr="00D523ED" w:rsidRDefault="007C7A6C" w:rsidP="002929A1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C7A6C" w:rsidRPr="00347E5A" w:rsidTr="006B5DB1">
      <w:trPr>
        <w:trHeight w:val="80"/>
      </w:trPr>
      <w:tc>
        <w:tcPr>
          <w:tcW w:w="9214" w:type="dxa"/>
        </w:tcPr>
        <w:p w:rsidR="007C7A6C" w:rsidRPr="00D523ED" w:rsidRDefault="007C7A6C" w:rsidP="00D523ED">
          <w:pPr>
            <w:pStyle w:val="a4"/>
            <w:rPr>
              <w:rFonts w:ascii="Arial" w:hAnsi="Arial" w:cs="Arial"/>
              <w:b/>
              <w:spacing w:val="-4"/>
              <w:sz w:val="10"/>
              <w:szCs w:val="10"/>
              <w:lang w:val="en-US"/>
            </w:rPr>
          </w:pPr>
        </w:p>
      </w:tc>
      <w:tc>
        <w:tcPr>
          <w:tcW w:w="675" w:type="dxa"/>
        </w:tcPr>
        <w:p w:rsidR="007C7A6C" w:rsidRPr="00D523ED" w:rsidRDefault="007C7A6C" w:rsidP="002929A1">
          <w:pPr>
            <w:pStyle w:val="a6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:rsidR="007C7A6C" w:rsidRPr="00D523ED" w:rsidRDefault="00D523ED" w:rsidP="00D523ED">
    <w:pPr>
      <w:tabs>
        <w:tab w:val="center" w:pos="4677"/>
        <w:tab w:val="right" w:pos="9355"/>
      </w:tabs>
      <w:rPr>
        <w:szCs w:val="24"/>
        <w:lang w:eastAsia="ru-RU"/>
      </w:rPr>
    </w:pPr>
    <w:r w:rsidRPr="00D523ED"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6DC657" wp14:editId="4C5ECE72">
              <wp:simplePos x="0" y="0"/>
              <wp:positionH relativeFrom="column">
                <wp:posOffset>5243029</wp:posOffset>
              </wp:positionH>
              <wp:positionV relativeFrom="paragraph">
                <wp:posOffset>68580</wp:posOffset>
              </wp:positionV>
              <wp:extent cx="938254" cy="333375"/>
              <wp:effectExtent l="0" t="0" r="0" b="9525"/>
              <wp:wrapNone/>
              <wp:docPr id="1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8254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23ED" w:rsidRDefault="00D523ED" w:rsidP="00D523ED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076B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076B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26" type="#_x0000_t202" style="position:absolute;margin-left:412.85pt;margin-top:5.4pt;width:73.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" filled="f" stroked="f" strokeweight="1.3pt">
              <v:textbox>
                <w:txbxContent>
                  <w:p w:rsidR="00D523ED" w:rsidRDefault="00D523ED" w:rsidP="00D523ED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076B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076B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59C" w:rsidRDefault="000B559C" w:rsidP="000D7C6A">
      <w:r>
        <w:separator/>
      </w:r>
    </w:p>
  </w:footnote>
  <w:footnote w:type="continuationSeparator" w:id="0">
    <w:p w:rsidR="000B559C" w:rsidRDefault="000B559C" w:rsidP="000D7C6A">
      <w:r>
        <w:continuationSeparator/>
      </w:r>
    </w:p>
  </w:footnote>
  <w:footnote w:id="1">
    <w:p w:rsidR="00AA06D9" w:rsidRDefault="00AA06D9" w:rsidP="00AA06D9">
      <w:pPr>
        <w:pStyle w:val="af2"/>
        <w:jc w:val="both"/>
      </w:pPr>
      <w:r w:rsidRPr="006F6D4F">
        <w:rPr>
          <w:rStyle w:val="af5"/>
          <w:rFonts w:ascii="Arial" w:hAnsi="Arial" w:cs="Arial"/>
          <w:sz w:val="16"/>
          <w:szCs w:val="16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83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970"/>
      <w:gridCol w:w="1850"/>
    </w:tblGrid>
    <w:tr w:rsidR="00E42276" w:rsidRPr="009E7427" w:rsidTr="00D523ED">
      <w:tc>
        <w:tcPr>
          <w:tcW w:w="4058" w:type="pct"/>
          <w:vAlign w:val="center"/>
        </w:tcPr>
        <w:p w:rsidR="00E42276" w:rsidRPr="00313C5C" w:rsidRDefault="008C07E1" w:rsidP="00F80F97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C07E1">
            <w:rPr>
              <w:rFonts w:ascii="Arial" w:hAnsi="Arial" w:cs="Arial"/>
              <w:b/>
              <w:sz w:val="10"/>
              <w:szCs w:val="10"/>
            </w:rPr>
            <w:t>ТИПОВЫЕ ТРЕБОВАНИЯ КОМПАНИИ №</w:t>
          </w:r>
          <w:r w:rsidR="00F80F97">
            <w:rPr>
              <w:rFonts w:ascii="Arial" w:hAnsi="Arial" w:cs="Arial"/>
              <w:b/>
              <w:sz w:val="10"/>
              <w:szCs w:val="10"/>
            </w:rPr>
            <w:t> </w:t>
          </w:r>
          <w:r w:rsidR="00F80F97" w:rsidRPr="00F80F97">
            <w:rPr>
              <w:rFonts w:ascii="Arial" w:hAnsi="Arial" w:cs="Arial"/>
              <w:b/>
              <w:sz w:val="10"/>
              <w:szCs w:val="10"/>
            </w:rPr>
            <w:t>П1-01.05 ТТР-0148</w:t>
          </w:r>
        </w:p>
      </w:tc>
      <w:tc>
        <w:tcPr>
          <w:tcW w:w="942" w:type="pct"/>
          <w:vAlign w:val="center"/>
        </w:tcPr>
        <w:p w:rsidR="00E42276" w:rsidRPr="00313C5C" w:rsidRDefault="009A4EF3" w:rsidP="008C07E1">
          <w:pPr>
            <w:pStyle w:val="a6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313C5C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0D350A">
            <w:rPr>
              <w:rFonts w:ascii="Arial" w:hAnsi="Arial" w:cs="Arial"/>
              <w:b/>
              <w:sz w:val="10"/>
              <w:szCs w:val="10"/>
            </w:rPr>
            <w:t>1</w:t>
          </w:r>
          <w:r w:rsidR="00BE6969">
            <w:rPr>
              <w:rFonts w:ascii="Arial" w:hAnsi="Arial" w:cs="Arial"/>
              <w:b/>
              <w:sz w:val="10"/>
              <w:szCs w:val="10"/>
            </w:rPr>
            <w:t xml:space="preserve"> ИЗМ. 1</w:t>
          </w:r>
        </w:p>
      </w:tc>
    </w:tr>
    <w:tr w:rsidR="008C07E1" w:rsidRPr="008C07E1" w:rsidTr="00D523ED">
      <w:trPr>
        <w:trHeight w:val="175"/>
      </w:trPr>
      <w:tc>
        <w:tcPr>
          <w:tcW w:w="4058" w:type="pct"/>
          <w:vAlign w:val="center"/>
        </w:tcPr>
        <w:p w:rsidR="00E42276" w:rsidRPr="008C07E1" w:rsidRDefault="008C07E1" w:rsidP="00E42276">
          <w:pPr>
            <w:pStyle w:val="a4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8C07E1">
            <w:rPr>
              <w:rFonts w:ascii="Arial" w:hAnsi="Arial" w:cs="Arial"/>
              <w:b/>
              <w:spacing w:val="-4"/>
              <w:sz w:val="10"/>
              <w:szCs w:val="10"/>
            </w:rPr>
            <w:t>ПРИМЕНЕНИЕ ХИМИЧЕСКИХ РЕАГЕНТОВ НА ОБЪЕКТАХ ДОБЫЧИ УГЛЕВОДОРОДНОГО СЫРЬЯ КОМПАНИИ</w:t>
          </w:r>
        </w:p>
      </w:tc>
      <w:tc>
        <w:tcPr>
          <w:tcW w:w="942" w:type="pct"/>
          <w:vAlign w:val="center"/>
        </w:tcPr>
        <w:p w:rsidR="00E42276" w:rsidRPr="008C07E1" w:rsidRDefault="009A4EF3" w:rsidP="00CE1D09">
          <w:pPr>
            <w:pStyle w:val="a6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C07E1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B03A2B" w:rsidRDefault="00B03A2B" w:rsidP="006221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6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9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2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5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45"/>
  </w:num>
  <w:num w:numId="4">
    <w:abstractNumId w:val="21"/>
  </w:num>
  <w:num w:numId="5">
    <w:abstractNumId w:val="6"/>
  </w:num>
  <w:num w:numId="6">
    <w:abstractNumId w:val="39"/>
  </w:num>
  <w:num w:numId="7">
    <w:abstractNumId w:val="12"/>
  </w:num>
  <w:num w:numId="8">
    <w:abstractNumId w:val="32"/>
  </w:num>
  <w:num w:numId="9">
    <w:abstractNumId w:val="15"/>
  </w:num>
  <w:num w:numId="10">
    <w:abstractNumId w:val="18"/>
  </w:num>
  <w:num w:numId="11">
    <w:abstractNumId w:val="34"/>
  </w:num>
  <w:num w:numId="12">
    <w:abstractNumId w:val="28"/>
  </w:num>
  <w:num w:numId="13">
    <w:abstractNumId w:val="8"/>
  </w:num>
  <w:num w:numId="14">
    <w:abstractNumId w:val="48"/>
  </w:num>
  <w:num w:numId="15">
    <w:abstractNumId w:val="25"/>
  </w:num>
  <w:num w:numId="16">
    <w:abstractNumId w:val="29"/>
  </w:num>
  <w:num w:numId="17">
    <w:abstractNumId w:val="17"/>
  </w:num>
  <w:num w:numId="18">
    <w:abstractNumId w:val="9"/>
  </w:num>
  <w:num w:numId="19">
    <w:abstractNumId w:val="23"/>
  </w:num>
  <w:num w:numId="20">
    <w:abstractNumId w:val="26"/>
  </w:num>
  <w:num w:numId="21">
    <w:abstractNumId w:val="42"/>
  </w:num>
  <w:num w:numId="22">
    <w:abstractNumId w:val="37"/>
  </w:num>
  <w:num w:numId="23">
    <w:abstractNumId w:val="20"/>
  </w:num>
  <w:num w:numId="24">
    <w:abstractNumId w:val="19"/>
  </w:num>
  <w:num w:numId="25">
    <w:abstractNumId w:val="41"/>
  </w:num>
  <w:num w:numId="26">
    <w:abstractNumId w:val="44"/>
  </w:num>
  <w:num w:numId="27">
    <w:abstractNumId w:val="14"/>
  </w:num>
  <w:num w:numId="28">
    <w:abstractNumId w:val="33"/>
  </w:num>
  <w:num w:numId="29">
    <w:abstractNumId w:val="22"/>
  </w:num>
  <w:num w:numId="30">
    <w:abstractNumId w:val="47"/>
  </w:num>
  <w:num w:numId="31">
    <w:abstractNumId w:val="2"/>
  </w:num>
  <w:num w:numId="32">
    <w:abstractNumId w:val="43"/>
  </w:num>
  <w:num w:numId="33">
    <w:abstractNumId w:val="5"/>
  </w:num>
  <w:num w:numId="34">
    <w:abstractNumId w:val="3"/>
  </w:num>
  <w:num w:numId="35">
    <w:abstractNumId w:val="11"/>
  </w:num>
  <w:num w:numId="36">
    <w:abstractNumId w:val="31"/>
  </w:num>
  <w:num w:numId="37">
    <w:abstractNumId w:val="36"/>
  </w:num>
  <w:num w:numId="38">
    <w:abstractNumId w:val="13"/>
  </w:num>
  <w:num w:numId="39">
    <w:abstractNumId w:val="10"/>
  </w:num>
  <w:num w:numId="40">
    <w:abstractNumId w:val="30"/>
  </w:num>
  <w:num w:numId="41">
    <w:abstractNumId w:val="27"/>
  </w:num>
  <w:num w:numId="42">
    <w:abstractNumId w:val="40"/>
  </w:num>
  <w:num w:numId="43">
    <w:abstractNumId w:val="35"/>
  </w:num>
  <w:num w:numId="44">
    <w:abstractNumId w:val="24"/>
  </w:num>
  <w:num w:numId="45">
    <w:abstractNumId w:val="16"/>
  </w:num>
  <w:num w:numId="46">
    <w:abstractNumId w:val="4"/>
  </w:num>
  <w:num w:numId="47">
    <w:abstractNumId w:val="38"/>
  </w:num>
  <w:num w:numId="48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0FD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8A1"/>
    <w:rsid w:val="00032BFE"/>
    <w:rsid w:val="00032F79"/>
    <w:rsid w:val="00033214"/>
    <w:rsid w:val="000333AB"/>
    <w:rsid w:val="000333D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2F98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45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8D7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59C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350A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B5E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C95"/>
    <w:rsid w:val="00125F9C"/>
    <w:rsid w:val="001266FF"/>
    <w:rsid w:val="00126F01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B5F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575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0FF5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4D0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376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1F9"/>
    <w:rsid w:val="002C17DF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866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678E8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3DF8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5DE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62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122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92C"/>
    <w:rsid w:val="004C7B1B"/>
    <w:rsid w:val="004C7EC9"/>
    <w:rsid w:val="004C7F26"/>
    <w:rsid w:val="004D039A"/>
    <w:rsid w:val="004D05C1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890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737"/>
    <w:rsid w:val="00522D46"/>
    <w:rsid w:val="00522F03"/>
    <w:rsid w:val="005230E0"/>
    <w:rsid w:val="0052336A"/>
    <w:rsid w:val="00523487"/>
    <w:rsid w:val="005234F7"/>
    <w:rsid w:val="0052353D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37E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44B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AA7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0F9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892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11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B3C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DB1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DE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5796C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046D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A6C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2293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4FB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9C4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7E1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8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BEC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44"/>
    <w:rsid w:val="00954C9C"/>
    <w:rsid w:val="00954DA8"/>
    <w:rsid w:val="0095522C"/>
    <w:rsid w:val="00955768"/>
    <w:rsid w:val="00955A91"/>
    <w:rsid w:val="00955FB0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356"/>
    <w:rsid w:val="0097041A"/>
    <w:rsid w:val="00970690"/>
    <w:rsid w:val="009706AC"/>
    <w:rsid w:val="009708BB"/>
    <w:rsid w:val="00970A1C"/>
    <w:rsid w:val="0097177D"/>
    <w:rsid w:val="009719C6"/>
    <w:rsid w:val="00972846"/>
    <w:rsid w:val="00972B3B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4EF3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DD6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5713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6D9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0F7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18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969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9E5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6BB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D09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75A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49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47EE9"/>
    <w:rsid w:val="00D501CE"/>
    <w:rsid w:val="00D5027E"/>
    <w:rsid w:val="00D5145C"/>
    <w:rsid w:val="00D5146A"/>
    <w:rsid w:val="00D515C5"/>
    <w:rsid w:val="00D51B1F"/>
    <w:rsid w:val="00D51BF4"/>
    <w:rsid w:val="00D521A4"/>
    <w:rsid w:val="00D523ED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3F54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82B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1FAC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4D21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3B3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76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45D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37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3D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08A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710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0F97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770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C5436-8A1D-46D4-9672-D46AA1DE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1994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Миннебаева Лилия Исмагиловна</cp:lastModifiedBy>
  <cp:revision>12</cp:revision>
  <cp:lastPrinted>2020-03-13T07:33:00Z</cp:lastPrinted>
  <dcterms:created xsi:type="dcterms:W3CDTF">2022-10-06T11:49:00Z</dcterms:created>
  <dcterms:modified xsi:type="dcterms:W3CDTF">2024-03-07T05:36:00Z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